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20"/>
      </w:tblGrid>
      <w:tr w:rsidR="00345768" w:rsidTr="005801E6">
        <w:tc>
          <w:tcPr>
            <w:tcW w:w="7920" w:type="dxa"/>
          </w:tcPr>
          <w:p w:rsidR="00345768" w:rsidRDefault="00345768" w:rsidP="00345768">
            <w:pPr>
              <w:spacing w:after="0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Riskiyah</w:t>
            </w:r>
            <w:proofErr w:type="spellEnd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Handayani</w:t>
            </w:r>
            <w:proofErr w:type="spellEnd"/>
          </w:p>
          <w:p w:rsidR="00345768" w:rsidRDefault="00345768" w:rsidP="00345768">
            <w:pPr>
              <w:spacing w:after="0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Mufarika</w:t>
            </w:r>
            <w:proofErr w:type="spellEnd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,Kep</w:t>
            </w:r>
            <w:proofErr w:type="spellEnd"/>
            <w:proofErr w:type="gramEnd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 xml:space="preserve">. Ns.,  </w:t>
            </w: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M.Kep</w:t>
            </w:r>
            <w:proofErr w:type="spellEnd"/>
          </w:p>
          <w:p w:rsidR="00345768" w:rsidRPr="00CB0940" w:rsidRDefault="00345768" w:rsidP="00345768">
            <w:pPr>
              <w:spacing w:after="0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16134620018</w:t>
            </w:r>
          </w:p>
          <w:p w:rsidR="00345768" w:rsidRPr="008D6582" w:rsidRDefault="00345768" w:rsidP="0034576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C46BB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Wariyanti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S.KM,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M.Ph</w:t>
            </w:r>
            <w:proofErr w:type="spellEnd"/>
          </w:p>
          <w:p w:rsidR="00345768" w:rsidRPr="008D6582" w:rsidRDefault="00345768" w:rsidP="0034576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DIII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Perekam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</w:p>
          <w:p w:rsidR="00345768" w:rsidRDefault="00345768" w:rsidP="003457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STIKes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Ngudia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6582">
              <w:rPr>
                <w:rFonts w:asciiTheme="majorBidi" w:hAnsiTheme="majorBidi" w:cstheme="majorBidi"/>
                <w:sz w:val="24"/>
                <w:szCs w:val="24"/>
              </w:rPr>
              <w:t>Husada</w:t>
            </w:r>
            <w:proofErr w:type="spellEnd"/>
            <w:r w:rsidRPr="008D6582">
              <w:rPr>
                <w:rFonts w:asciiTheme="majorBidi" w:hAnsiTheme="majorBidi" w:cstheme="majorBidi"/>
                <w:sz w:val="24"/>
                <w:szCs w:val="24"/>
              </w:rPr>
              <w:t xml:space="preserve"> Madura</w:t>
            </w:r>
          </w:p>
        </w:tc>
      </w:tr>
      <w:tr w:rsidR="00345768" w:rsidRPr="00301648" w:rsidTr="005801E6">
        <w:tc>
          <w:tcPr>
            <w:tcW w:w="7920" w:type="dxa"/>
          </w:tcPr>
          <w:p w:rsidR="00345768" w:rsidRDefault="00345768" w:rsidP="0058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TINJAUAN PELAKSANAAN PELEPASAN INFORMASI </w:t>
            </w:r>
          </w:p>
          <w:p w:rsidR="00345768" w:rsidRDefault="00345768" w:rsidP="005801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MEDIS UNTUK KEPERLUAN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VISUM ET REPERTUM </w:t>
            </w:r>
          </w:p>
          <w:p w:rsidR="00345768" w:rsidRPr="00B049EC" w:rsidRDefault="00345768" w:rsidP="005801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DARI ASPEK HUKUM KESEHATAN DI RSUD </w:t>
            </w:r>
          </w:p>
          <w:p w:rsidR="00345768" w:rsidRPr="00301648" w:rsidRDefault="00345768" w:rsidP="0058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SYARIFAH AMBAMI RATO EBU</w:t>
            </w:r>
          </w:p>
        </w:tc>
      </w:tr>
      <w:tr w:rsidR="00345768" w:rsidRPr="00301648" w:rsidTr="005801E6">
        <w:tc>
          <w:tcPr>
            <w:tcW w:w="7920" w:type="dxa"/>
          </w:tcPr>
          <w:p w:rsidR="00345768" w:rsidRDefault="00345768" w:rsidP="005801E6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582"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</w:p>
          <w:p w:rsidR="00345768" w:rsidRDefault="00345768" w:rsidP="005801E6">
            <w:pPr>
              <w:tabs>
                <w:tab w:val="left" w:pos="525"/>
              </w:tabs>
              <w:ind w:firstLine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Visum</w:t>
            </w:r>
            <w:proofErr w:type="spellEnd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Repertum</w:t>
            </w:r>
            <w:proofErr w:type="spellEnd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kepolisian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pengadilan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sumpah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sebaik-baiknya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pengadilan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Visum</w:t>
            </w:r>
            <w:proofErr w:type="spellEnd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Repertum</w:t>
            </w:r>
            <w:proofErr w:type="spellEnd"/>
            <w:r w:rsidRPr="004F1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Ebu</w:t>
            </w:r>
            <w:proofErr w:type="spellEnd"/>
            <w:r w:rsidRPr="004F1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768" w:rsidRDefault="00345768" w:rsidP="005801E6">
            <w:pPr>
              <w:tabs>
                <w:tab w:val="left" w:pos="525"/>
              </w:tabs>
              <w:ind w:firstLine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pelepasan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subyek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jenazah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pelepasan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D61">
              <w:rPr>
                <w:rFonts w:ascii="Times New Roman" w:hAnsi="Times New Roman" w:cs="Times New Roman"/>
                <w:i/>
                <w:sz w:val="24"/>
                <w:szCs w:val="24"/>
              </w:rPr>
              <w:t>visum</w:t>
            </w:r>
            <w:proofErr w:type="spellEnd"/>
            <w:r w:rsidRPr="00874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 w:rsidRPr="00874D61">
              <w:rPr>
                <w:rFonts w:ascii="Times New Roman" w:hAnsi="Times New Roman" w:cs="Times New Roman"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45768" w:rsidRDefault="00345768" w:rsidP="005801E6">
            <w:pPr>
              <w:ind w:firstLine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bahwasanya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tata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pelepasan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medis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>keperluan</w:t>
            </w:r>
            <w:proofErr w:type="spellEnd"/>
            <w:r w:rsidRPr="00D16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visum</w:t>
            </w:r>
            <w:proofErr w:type="spellEnd"/>
            <w:r w:rsidRPr="00D16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et </w:t>
            </w:r>
            <w:proofErr w:type="spellStart"/>
            <w:r w:rsidRPr="00D16A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pengagendaan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RSUD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RSUD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ditujukan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IGD.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Ketidaksesuaian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terletak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repertum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jenazah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pelayanannya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768" w:rsidRPr="00301648" w:rsidRDefault="00345768" w:rsidP="005801E6">
            <w:pPr>
              <w:ind w:firstLine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protap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repertum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ditinjau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visum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repertum</w:t>
            </w:r>
            <w:proofErr w:type="spellEnd"/>
            <w:r w:rsidRPr="00437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768" w:rsidRPr="00301648" w:rsidTr="005801E6">
        <w:tc>
          <w:tcPr>
            <w:tcW w:w="7920" w:type="dxa"/>
          </w:tcPr>
          <w:p w:rsidR="00345768" w:rsidRPr="00301648" w:rsidRDefault="00345768" w:rsidP="005801E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Kata</w:t>
            </w:r>
            <w:proofErr w:type="spellEnd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Kunci</w:t>
            </w:r>
            <w:proofErr w:type="spellEnd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  <w:proofErr w:type="spellStart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Pelaksanaan</w:t>
            </w:r>
            <w:proofErr w:type="spellEnd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301648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Vium</w:t>
            </w:r>
            <w:proofErr w:type="spellEnd"/>
            <w:r w:rsidRPr="00301648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et </w:t>
            </w:r>
            <w:proofErr w:type="spellStart"/>
            <w:r w:rsidRPr="00301648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repertum</w:t>
            </w:r>
            <w:proofErr w:type="gramStart"/>
            <w:r w:rsidRPr="00301648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,</w:t>
            </w:r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Protap</w:t>
            </w:r>
            <w:proofErr w:type="spellEnd"/>
            <w:proofErr w:type="gramEnd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Teori</w:t>
            </w:r>
            <w:proofErr w:type="spellEnd"/>
            <w:r w:rsidRPr="00301648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</w:tbl>
    <w:p w:rsidR="008349F9" w:rsidRDefault="008349F9" w:rsidP="00345768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768"/>
    <w:rsid w:val="00324E4C"/>
    <w:rsid w:val="00345768"/>
    <w:rsid w:val="003D5936"/>
    <w:rsid w:val="00484FB1"/>
    <w:rsid w:val="00675E1F"/>
    <w:rsid w:val="008349F9"/>
    <w:rsid w:val="00B14B0E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68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76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1B610D-5BE8-43A2-BDE6-63B1281B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2019-11-18T01:59:00Z</dcterms:created>
  <dcterms:modified xsi:type="dcterms:W3CDTF">2019-11-18T02:00:00Z</dcterms:modified>
</cp:coreProperties>
</file>